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ayout w:type="fixed"/>
        <w:tblLook w:val="04A0"/>
      </w:tblPr>
      <w:tblGrid>
        <w:gridCol w:w="4077"/>
        <w:gridCol w:w="1418"/>
        <w:gridCol w:w="3483"/>
      </w:tblGrid>
      <w:tr w:rsidR="00334795" w:rsidRPr="002D39BD" w:rsidTr="007F60ED">
        <w:trPr>
          <w:trHeight w:val="515"/>
        </w:trPr>
        <w:tc>
          <w:tcPr>
            <w:tcW w:w="8978" w:type="dxa"/>
            <w:gridSpan w:val="3"/>
          </w:tcPr>
          <w:p w:rsidR="00334795" w:rsidRPr="002D39BD" w:rsidRDefault="00334795" w:rsidP="007F60ED">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Unidad 1: Organismos en ecosistemas</w:t>
            </w:r>
          </w:p>
          <w:p w:rsidR="00334795" w:rsidRPr="002D39BD" w:rsidRDefault="00334795" w:rsidP="00334795">
            <w:pPr>
              <w:pStyle w:val="Default"/>
              <w:jc w:val="center"/>
              <w:rPr>
                <w:rFonts w:ascii="Times New Roman" w:hAnsi="Times New Roman" w:cs="Times New Roman"/>
                <w:b/>
                <w:sz w:val="22"/>
                <w:szCs w:val="22"/>
              </w:rPr>
            </w:pPr>
            <w:r>
              <w:rPr>
                <w:rFonts w:ascii="Times New Roman" w:hAnsi="Times New Roman" w:cs="Times New Roman"/>
                <w:b/>
                <w:sz w:val="22"/>
                <w:szCs w:val="22"/>
              </w:rPr>
              <w:t>Guía de ejercitación 3</w:t>
            </w:r>
            <w:r w:rsidRPr="002D39BD">
              <w:rPr>
                <w:rFonts w:ascii="Times New Roman" w:hAnsi="Times New Roman" w:cs="Times New Roman"/>
                <w:b/>
                <w:sz w:val="22"/>
                <w:szCs w:val="22"/>
              </w:rPr>
              <w:t>: “</w:t>
            </w:r>
            <w:r>
              <w:rPr>
                <w:rFonts w:ascii="Times New Roman" w:hAnsi="Times New Roman" w:cs="Times New Roman"/>
                <w:b/>
                <w:sz w:val="22"/>
                <w:szCs w:val="22"/>
              </w:rPr>
              <w:t>Apliquemos el crecimiento poblacional</w:t>
            </w:r>
            <w:r w:rsidRPr="002D39BD">
              <w:rPr>
                <w:rFonts w:ascii="Times New Roman" w:hAnsi="Times New Roman" w:cs="Times New Roman"/>
                <w:b/>
                <w:sz w:val="22"/>
                <w:szCs w:val="22"/>
              </w:rPr>
              <w:t>”</w:t>
            </w:r>
          </w:p>
        </w:tc>
      </w:tr>
      <w:tr w:rsidR="00334795" w:rsidRPr="002D39BD" w:rsidTr="007F60ED">
        <w:tc>
          <w:tcPr>
            <w:tcW w:w="4077" w:type="dxa"/>
            <w:tcBorders>
              <w:right w:val="single" w:sz="4" w:space="0" w:color="auto"/>
            </w:tcBorders>
          </w:tcPr>
          <w:p w:rsidR="00334795" w:rsidRPr="002D39BD" w:rsidRDefault="00334795" w:rsidP="007F60ED">
            <w:pPr>
              <w:rPr>
                <w:rFonts w:ascii="Times New Roman" w:hAnsi="Times New Roman" w:cs="Times New Roman"/>
              </w:rPr>
            </w:pPr>
            <w:r w:rsidRPr="002D39BD">
              <w:rPr>
                <w:rFonts w:ascii="Times New Roman" w:hAnsi="Times New Roman" w:cs="Times New Roman"/>
              </w:rPr>
              <w:t>Nombre:</w:t>
            </w:r>
          </w:p>
        </w:tc>
        <w:tc>
          <w:tcPr>
            <w:tcW w:w="1418" w:type="dxa"/>
            <w:tcBorders>
              <w:left w:val="single" w:sz="4" w:space="0" w:color="auto"/>
            </w:tcBorders>
          </w:tcPr>
          <w:p w:rsidR="00334795" w:rsidRPr="002D39BD" w:rsidRDefault="00334795" w:rsidP="007F60ED">
            <w:pPr>
              <w:rPr>
                <w:rFonts w:ascii="Times New Roman" w:hAnsi="Times New Roman" w:cs="Times New Roman"/>
              </w:rPr>
            </w:pPr>
            <w:r w:rsidRPr="002D39BD">
              <w:rPr>
                <w:rFonts w:ascii="Times New Roman" w:hAnsi="Times New Roman" w:cs="Times New Roman"/>
              </w:rPr>
              <w:t>Curso: I°</w:t>
            </w:r>
          </w:p>
        </w:tc>
        <w:tc>
          <w:tcPr>
            <w:tcW w:w="3483" w:type="dxa"/>
          </w:tcPr>
          <w:p w:rsidR="00334795" w:rsidRPr="002D39BD" w:rsidRDefault="00334795" w:rsidP="007F60ED">
            <w:pPr>
              <w:rPr>
                <w:rFonts w:ascii="Times New Roman" w:hAnsi="Times New Roman" w:cs="Times New Roman"/>
              </w:rPr>
            </w:pPr>
            <w:r w:rsidRPr="002D39BD">
              <w:rPr>
                <w:rFonts w:ascii="Times New Roman" w:hAnsi="Times New Roman" w:cs="Times New Roman"/>
              </w:rPr>
              <w:t>Fecha:</w:t>
            </w:r>
          </w:p>
        </w:tc>
      </w:tr>
      <w:tr w:rsidR="00334795" w:rsidRPr="002D39BD" w:rsidTr="007F60ED">
        <w:tc>
          <w:tcPr>
            <w:tcW w:w="4077" w:type="dxa"/>
          </w:tcPr>
          <w:p w:rsidR="00334795" w:rsidRPr="002D39BD" w:rsidRDefault="00334795" w:rsidP="007F60ED">
            <w:pPr>
              <w:rPr>
                <w:rFonts w:ascii="Times New Roman" w:hAnsi="Times New Roman" w:cs="Times New Roman"/>
                <w:b/>
              </w:rPr>
            </w:pPr>
            <w:r w:rsidRPr="002D39BD">
              <w:rPr>
                <w:rFonts w:ascii="Times New Roman" w:hAnsi="Times New Roman" w:cs="Times New Roman"/>
                <w:b/>
              </w:rPr>
              <w:t>Objetivo</w:t>
            </w:r>
          </w:p>
        </w:tc>
        <w:tc>
          <w:tcPr>
            <w:tcW w:w="4901" w:type="dxa"/>
            <w:gridSpan w:val="2"/>
          </w:tcPr>
          <w:p w:rsidR="00334795" w:rsidRPr="002D39BD" w:rsidRDefault="00334795" w:rsidP="007F60ED">
            <w:pPr>
              <w:rPr>
                <w:rFonts w:ascii="Times New Roman" w:hAnsi="Times New Roman" w:cs="Times New Roman"/>
                <w:b/>
              </w:rPr>
            </w:pPr>
            <w:r w:rsidRPr="002D39BD">
              <w:rPr>
                <w:rFonts w:ascii="Times New Roman" w:hAnsi="Times New Roman" w:cs="Times New Roman"/>
                <w:b/>
              </w:rPr>
              <w:t>Habilidades.</w:t>
            </w:r>
          </w:p>
        </w:tc>
      </w:tr>
      <w:tr w:rsidR="00334795" w:rsidRPr="002D39BD" w:rsidTr="007F60ED">
        <w:tc>
          <w:tcPr>
            <w:tcW w:w="4077" w:type="dxa"/>
          </w:tcPr>
          <w:p w:rsidR="00334795" w:rsidRPr="002D39BD" w:rsidRDefault="00334795" w:rsidP="00334795">
            <w:pPr>
              <w:pStyle w:val="Prrafodelista"/>
              <w:numPr>
                <w:ilvl w:val="0"/>
                <w:numId w:val="1"/>
              </w:numPr>
              <w:rPr>
                <w:rFonts w:ascii="Times New Roman" w:hAnsi="Times New Roman" w:cs="Times New Roman"/>
                <w:b/>
              </w:rPr>
            </w:pPr>
            <w:r>
              <w:rPr>
                <w:rFonts w:ascii="Times New Roman" w:hAnsi="Times New Roman" w:cs="Times New Roman"/>
                <w:b/>
              </w:rPr>
              <w:t xml:space="preserve">Aplicar </w:t>
            </w:r>
            <w:r w:rsidR="006E0660">
              <w:rPr>
                <w:rFonts w:ascii="Times New Roman" w:hAnsi="Times New Roman" w:cs="Times New Roman"/>
                <w:b/>
              </w:rPr>
              <w:t xml:space="preserve">la formula matemática del crecimiento poblacional a hechos reales y contextuales. </w:t>
            </w:r>
          </w:p>
        </w:tc>
        <w:tc>
          <w:tcPr>
            <w:tcW w:w="4901" w:type="dxa"/>
            <w:gridSpan w:val="2"/>
          </w:tcPr>
          <w:p w:rsidR="00334795" w:rsidRDefault="00334795" w:rsidP="00334795">
            <w:pPr>
              <w:pStyle w:val="Prrafodelista"/>
              <w:numPr>
                <w:ilvl w:val="0"/>
                <w:numId w:val="1"/>
              </w:numPr>
              <w:rPr>
                <w:rFonts w:ascii="Times New Roman" w:hAnsi="Times New Roman" w:cs="Times New Roman"/>
                <w:b/>
              </w:rPr>
            </w:pPr>
            <w:r>
              <w:rPr>
                <w:rFonts w:ascii="Times New Roman" w:hAnsi="Times New Roman" w:cs="Times New Roman"/>
                <w:b/>
              </w:rPr>
              <w:t xml:space="preserve">Procesar la información y ordenar los datos de relevancia científica. </w:t>
            </w:r>
          </w:p>
          <w:p w:rsidR="006E0660" w:rsidRPr="006E0660" w:rsidRDefault="006E0660" w:rsidP="006E0660">
            <w:pPr>
              <w:pStyle w:val="Prrafodelista"/>
              <w:numPr>
                <w:ilvl w:val="0"/>
                <w:numId w:val="1"/>
              </w:numPr>
              <w:rPr>
                <w:rFonts w:ascii="Times New Roman" w:hAnsi="Times New Roman" w:cs="Times New Roman"/>
                <w:b/>
              </w:rPr>
            </w:pPr>
            <w:r w:rsidRPr="006E0660">
              <w:rPr>
                <w:rFonts w:ascii="Times New Roman" w:hAnsi="Times New Roman" w:cs="Times New Roman"/>
                <w:b/>
              </w:rPr>
              <w:t xml:space="preserve">El estudiante será capaz de interpretar y graficar la información que proviene del espacio científico a su contexto. </w:t>
            </w:r>
          </w:p>
        </w:tc>
      </w:tr>
      <w:tr w:rsidR="00334795" w:rsidRPr="002D39BD" w:rsidTr="007F60ED">
        <w:tc>
          <w:tcPr>
            <w:tcW w:w="8978" w:type="dxa"/>
            <w:gridSpan w:val="3"/>
          </w:tcPr>
          <w:p w:rsidR="00334795" w:rsidRDefault="00334795" w:rsidP="007F60ED">
            <w:pPr>
              <w:rPr>
                <w:rFonts w:ascii="Times New Roman" w:hAnsi="Times New Roman" w:cs="Times New Roman"/>
                <w:b/>
                <w:u w:val="single"/>
              </w:rPr>
            </w:pPr>
            <w:r w:rsidRPr="002D39BD">
              <w:rPr>
                <w:rFonts w:ascii="Times New Roman" w:hAnsi="Times New Roman" w:cs="Times New Roman"/>
                <w:b/>
                <w:u w:val="single"/>
              </w:rPr>
              <w:t>INSTRUCCIONES</w:t>
            </w:r>
          </w:p>
          <w:p w:rsidR="006E0660" w:rsidRPr="00006F72" w:rsidRDefault="006E0660" w:rsidP="00334795">
            <w:pPr>
              <w:pStyle w:val="Default"/>
              <w:numPr>
                <w:ilvl w:val="0"/>
                <w:numId w:val="2"/>
              </w:numPr>
              <w:rPr>
                <w:rFonts w:ascii="Times New Roman" w:hAnsi="Times New Roman" w:cs="Times New Roman"/>
                <w:sz w:val="22"/>
                <w:szCs w:val="22"/>
              </w:rPr>
            </w:pPr>
            <w:r w:rsidRPr="00006F72">
              <w:rPr>
                <w:rFonts w:ascii="Times New Roman" w:hAnsi="Times New Roman" w:cs="Times New Roman"/>
                <w:sz w:val="22"/>
                <w:szCs w:val="22"/>
              </w:rPr>
              <w:t>En base a la clase numero 3 de crecimiento poblacional y al ppt que fue enviado el 1 de junio a sus correos institucionales debe desarrollar la siguiente guía.</w:t>
            </w:r>
          </w:p>
          <w:p w:rsidR="006E0660" w:rsidRDefault="006E0660" w:rsidP="00334795">
            <w:pPr>
              <w:pStyle w:val="Default"/>
              <w:numPr>
                <w:ilvl w:val="0"/>
                <w:numId w:val="2"/>
              </w:numPr>
              <w:rPr>
                <w:rFonts w:ascii="Times New Roman" w:hAnsi="Times New Roman" w:cs="Times New Roman"/>
                <w:b/>
                <w:sz w:val="22"/>
                <w:szCs w:val="22"/>
              </w:rPr>
            </w:pPr>
            <w:r w:rsidRPr="00006F72">
              <w:rPr>
                <w:rFonts w:ascii="Times New Roman" w:hAnsi="Times New Roman" w:cs="Times New Roman"/>
                <w:sz w:val="22"/>
                <w:szCs w:val="22"/>
              </w:rPr>
              <w:t xml:space="preserve">Cualquier duda o consulta </w:t>
            </w:r>
            <w:r w:rsidR="00006F72" w:rsidRPr="00006F72">
              <w:rPr>
                <w:rFonts w:ascii="Times New Roman" w:hAnsi="Times New Roman" w:cs="Times New Roman"/>
                <w:sz w:val="22"/>
                <w:szCs w:val="22"/>
              </w:rPr>
              <w:t>a mi correo</w:t>
            </w:r>
            <w:r w:rsidR="00006F72">
              <w:rPr>
                <w:rFonts w:ascii="Times New Roman" w:hAnsi="Times New Roman" w:cs="Times New Roman"/>
                <w:b/>
                <w:sz w:val="22"/>
                <w:szCs w:val="22"/>
              </w:rPr>
              <w:t xml:space="preserve">: </w:t>
            </w:r>
            <w:hyperlink r:id="rId7" w:history="1">
              <w:r w:rsidR="00006F72" w:rsidRPr="002A048D">
                <w:rPr>
                  <w:rStyle w:val="Hipervnculo"/>
                  <w:rFonts w:ascii="Times New Roman" w:hAnsi="Times New Roman" w:cs="Times New Roman"/>
                  <w:b/>
                  <w:sz w:val="22"/>
                  <w:szCs w:val="22"/>
                </w:rPr>
                <w:t>mtrujillo@sanbenildo.cl</w:t>
              </w:r>
            </w:hyperlink>
            <w:r w:rsidR="00006F72">
              <w:rPr>
                <w:rFonts w:ascii="Times New Roman" w:hAnsi="Times New Roman" w:cs="Times New Roman"/>
                <w:b/>
                <w:sz w:val="22"/>
                <w:szCs w:val="22"/>
              </w:rPr>
              <w:t xml:space="preserve"> </w:t>
            </w:r>
          </w:p>
          <w:p w:rsidR="00006F72" w:rsidRPr="00006F72" w:rsidRDefault="00006F72" w:rsidP="00334795">
            <w:pPr>
              <w:pStyle w:val="Default"/>
              <w:numPr>
                <w:ilvl w:val="0"/>
                <w:numId w:val="2"/>
              </w:numPr>
              <w:rPr>
                <w:rFonts w:ascii="Times New Roman" w:hAnsi="Times New Roman" w:cs="Times New Roman"/>
                <w:b/>
                <w:i/>
                <w:sz w:val="22"/>
                <w:szCs w:val="22"/>
              </w:rPr>
            </w:pPr>
            <w:r w:rsidRPr="00006F72">
              <w:rPr>
                <w:rFonts w:ascii="Times New Roman" w:hAnsi="Times New Roman" w:cs="Times New Roman"/>
                <w:b/>
                <w:i/>
                <w:sz w:val="22"/>
                <w:szCs w:val="22"/>
              </w:rPr>
              <w:t>Entrega de la actividad 12 de junio del presente año.</w:t>
            </w:r>
          </w:p>
          <w:p w:rsidR="00334795" w:rsidRPr="00D66A88" w:rsidRDefault="00334795" w:rsidP="00334795">
            <w:pPr>
              <w:pStyle w:val="Default"/>
              <w:numPr>
                <w:ilvl w:val="0"/>
                <w:numId w:val="2"/>
              </w:numPr>
              <w:rPr>
                <w:rFonts w:ascii="Times New Roman" w:hAnsi="Times New Roman" w:cs="Times New Roman"/>
                <w:b/>
                <w:sz w:val="22"/>
                <w:szCs w:val="22"/>
              </w:rPr>
            </w:pPr>
            <w:r>
              <w:rPr>
                <w:rFonts w:ascii="Times New Roman" w:hAnsi="Times New Roman" w:cs="Times New Roman"/>
                <w:b/>
                <w:sz w:val="22"/>
                <w:szCs w:val="22"/>
              </w:rPr>
              <w:t xml:space="preserve">Recordar que NO ES OBLIGATORIO imprimir la guía. </w:t>
            </w:r>
          </w:p>
        </w:tc>
      </w:tr>
    </w:tbl>
    <w:p w:rsidR="00006F72" w:rsidRPr="00006F72" w:rsidRDefault="00006F72" w:rsidP="00006F72">
      <w:pPr>
        <w:jc w:val="center"/>
        <w:rPr>
          <w:rFonts w:ascii="Times New Roman" w:hAnsi="Times New Roman" w:cs="Times New Roman"/>
          <w:b/>
          <w:u w:val="single"/>
        </w:rPr>
      </w:pPr>
    </w:p>
    <w:p w:rsidR="00006F72" w:rsidRDefault="00006F72" w:rsidP="00006F72">
      <w:pPr>
        <w:jc w:val="center"/>
        <w:rPr>
          <w:rFonts w:ascii="Times New Roman" w:hAnsi="Times New Roman" w:cs="Times New Roman"/>
          <w:b/>
          <w:u w:val="single"/>
        </w:rPr>
      </w:pPr>
      <w:r w:rsidRPr="00006F72">
        <w:rPr>
          <w:rFonts w:ascii="Times New Roman" w:hAnsi="Times New Roman" w:cs="Times New Roman"/>
          <w:b/>
          <w:u w:val="single"/>
        </w:rPr>
        <w:t>ACTIVIDAD</w:t>
      </w:r>
    </w:p>
    <w:p w:rsidR="00006F72" w:rsidRDefault="00006F72" w:rsidP="00006F72">
      <w:pPr>
        <w:pStyle w:val="Prrafodelista"/>
        <w:numPr>
          <w:ilvl w:val="0"/>
          <w:numId w:val="3"/>
        </w:numPr>
        <w:rPr>
          <w:rFonts w:ascii="Times New Roman" w:hAnsi="Times New Roman" w:cs="Times New Roman"/>
        </w:rPr>
      </w:pPr>
      <w:r>
        <w:rPr>
          <w:rFonts w:ascii="Times New Roman" w:hAnsi="Times New Roman" w:cs="Times New Roman"/>
        </w:rPr>
        <w:t>Leer los siguientes problemas y aplica la formula crecimiento poblacional:</w:t>
      </w:r>
    </w:p>
    <w:p w:rsidR="00006F72" w:rsidRDefault="00006F72" w:rsidP="00006F72">
      <w:pPr>
        <w:ind w:left="360"/>
        <w:rPr>
          <w:rFonts w:ascii="Times New Roman" w:hAnsi="Times New Roman" w:cs="Times New Roman"/>
        </w:rPr>
      </w:pPr>
      <w:r w:rsidRPr="00006F72">
        <w:rPr>
          <w:rFonts w:ascii="Times New Roman" w:hAnsi="Times New Roman" w:cs="Times New Roman"/>
        </w:rPr>
        <w:drawing>
          <wp:inline distT="0" distB="0" distL="0" distR="0">
            <wp:extent cx="5612130" cy="906780"/>
            <wp:effectExtent l="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40" cy="923330"/>
                      <a:chOff x="1571604" y="3500444"/>
                      <a:chExt cx="5715040" cy="923330"/>
                    </a:xfrm>
                  </a:grpSpPr>
                  <a:sp>
                    <a:nvSpPr>
                      <a:cNvPr id="5" name="4 CuadroTexto"/>
                      <a:cNvSpPr txBox="1"/>
                    </a:nvSpPr>
                    <a:spPr>
                      <a:xfrm>
                        <a:off x="1571604" y="3500444"/>
                        <a:ext cx="5715040" cy="923330"/>
                      </a:xfrm>
                      <a:prstGeom prst="rect">
                        <a:avLst/>
                      </a:prstGeom>
                    </a:spPr>
                    <a:txSp>
                      <a:txBody>
                        <a:bodyPr wrap="square" rtlCol="0">
                          <a:spAutoFit/>
                        </a:bodyPr>
                        <a:lstStyle>
                          <a:defPPr marR="0" lvl="0" algn="l" rtl="0">
                            <a:lnSpc>
                              <a:spcPct val="100000"/>
                            </a:lnSpc>
                            <a:spcBef>
                              <a:spcPts val="0"/>
                            </a:spcBef>
                            <a:spcAft>
                              <a:spcPts val="0"/>
                            </a:spcAft>
                          </a:defPPr>
                          <a:lvl1pPr marR="0" lvl="0"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1pPr>
                          <a:lvl2pPr marR="0" lvl="1"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2pPr>
                          <a:lvl3pPr marR="0" lvl="2"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3pPr>
                          <a:lvl4pPr marR="0" lvl="3"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4pPr>
                          <a:lvl5pPr marR="0" lvl="4"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5pPr>
                          <a:lvl6pPr marR="0" lvl="5"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6pPr>
                          <a:lvl7pPr marR="0" lvl="6"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7pPr>
                          <a:lvl8pPr marR="0" lvl="7"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8pPr>
                          <a:lvl9pPr marR="0" lvl="8" algn="l" rtl="0">
                            <a:lnSpc>
                              <a:spcPct val="100000"/>
                            </a:lnSpc>
                            <a:spcBef>
                              <a:spcPts val="0"/>
                            </a:spcBef>
                            <a:spcAft>
                              <a:spcPts val="0"/>
                            </a:spcAft>
                            <a:buClr>
                              <a:srgbClr val="000000"/>
                            </a:buClr>
                            <a:buFont typeface="Arial"/>
                            <a:defRPr sz="1400" b="0" i="0" u="none" strike="noStrike" cap="none">
                              <a:solidFill>
                                <a:schemeClr val="dk1"/>
                              </a:solidFill>
                              <a:latin typeface="+mn-lt"/>
                              <a:ea typeface="+mn-ea"/>
                              <a:cs typeface="+mn-cs"/>
                              <a:sym typeface="Arial"/>
                            </a:defRPr>
                          </a:lvl9pPr>
                        </a:lstStyle>
                        <a:p>
                          <a:pPr algn="ctr"/>
                          <a:r>
                            <a:rPr lang="es-ES" dirty="0" smtClean="0"/>
                            <a:t>Tamaño poblacional</a:t>
                          </a:r>
                        </a:p>
                        <a:p>
                          <a:pPr algn="ctr"/>
                          <a:r>
                            <a:rPr lang="es-ES" sz="4000" b="1" dirty="0" smtClean="0">
                              <a:solidFill>
                                <a:schemeClr val="accent1">
                                  <a:lumMod val="50000"/>
                                </a:schemeClr>
                              </a:solidFill>
                            </a:rPr>
                            <a:t>N=(n-m) + (i-e)</a:t>
                          </a:r>
                          <a:endParaRPr lang="es-CL" sz="4000" b="1" dirty="0" smtClean="0">
                            <a:solidFill>
                              <a:schemeClr val="accent1">
                                <a:lumMod val="50000"/>
                              </a:schemeClr>
                            </a:solidFill>
                          </a:endParaRPr>
                        </a:p>
                      </a:txBody>
                      <a:useSpRect/>
                    </a:txSp>
                    <a:style>
                      <a:lnRef idx="1">
                        <a:schemeClr val="accent4"/>
                      </a:lnRef>
                      <a:fillRef idx="2">
                        <a:schemeClr val="accent4"/>
                      </a:fillRef>
                      <a:effectRef idx="1">
                        <a:schemeClr val="accent4"/>
                      </a:effectRef>
                      <a:fontRef idx="minor">
                        <a:schemeClr val="dk1"/>
                      </a:fontRef>
                    </a:style>
                  </a:sp>
                </lc:lockedCanvas>
              </a:graphicData>
            </a:graphic>
          </wp:inline>
        </w:drawing>
      </w:r>
    </w:p>
    <w:p w:rsidR="00C5737E" w:rsidRDefault="00746612" w:rsidP="00C5737E">
      <w:pPr>
        <w:pStyle w:val="Prrafodelista"/>
        <w:numPr>
          <w:ilvl w:val="0"/>
          <w:numId w:val="4"/>
        </w:numPr>
        <w:rPr>
          <w:rFonts w:ascii="Times New Roman" w:hAnsi="Times New Roman" w:cs="Times New Roman"/>
        </w:rPr>
      </w:pPr>
      <w:r>
        <w:rPr>
          <w:rFonts w:ascii="Times New Roman" w:hAnsi="Times New Roman" w:cs="Times New Roman"/>
        </w:rPr>
        <w:t xml:space="preserve">En el año 1994 en el mes de mayo en la comuna de Santiago, nacieron 1500 individuos, de los cuáles ninguno falleció, así mismo en el mes de mayo fallecieron bajo diferentes circunstancias 3500 personas, las tasas de inmigración era bajas, y llegaron 2550 extranjeros a radicarse en el país con una visa de trabajo y emigraron 0 personas. En comparación con junio, nacieron 3880 individuos y fallecieron 15 infantes, llegaron 1367 inmigrantes a trabajar y se fueron 340 personas de la comuna. </w:t>
      </w:r>
      <w:r w:rsidRPr="00746612">
        <w:rPr>
          <w:rFonts w:ascii="Times New Roman" w:hAnsi="Times New Roman" w:cs="Times New Roman"/>
        </w:rPr>
        <w:t>¿</w:t>
      </w:r>
      <w:r>
        <w:rPr>
          <w:rFonts w:ascii="Times New Roman" w:hAnsi="Times New Roman" w:cs="Times New Roman"/>
        </w:rPr>
        <w:t xml:space="preserve">cuál es el tamaño poblacional </w:t>
      </w:r>
      <w:r w:rsidR="00C5737E">
        <w:rPr>
          <w:rFonts w:ascii="Times New Roman" w:hAnsi="Times New Roman" w:cs="Times New Roman"/>
        </w:rPr>
        <w:t>de mayo</w:t>
      </w:r>
      <w:r w:rsidRPr="00746612">
        <w:rPr>
          <w:rFonts w:ascii="Times New Roman" w:hAnsi="Times New Roman" w:cs="Times New Roman"/>
        </w:rPr>
        <w:t>?</w:t>
      </w:r>
      <w:r w:rsidR="00C5737E">
        <w:rPr>
          <w:rFonts w:ascii="Times New Roman" w:hAnsi="Times New Roman" w:cs="Times New Roman"/>
        </w:rPr>
        <w:t xml:space="preserve"> ¿Cuál es el tamaño poblacional de Junio? Explique si el tamaño poblacional aumentó o disminuyó en el tiempo.</w:t>
      </w:r>
    </w:p>
    <w:p w:rsidR="00C5737E" w:rsidRDefault="00C5737E" w:rsidP="00C5737E">
      <w:pPr>
        <w:pStyle w:val="Prrafodelista"/>
        <w:numPr>
          <w:ilvl w:val="0"/>
          <w:numId w:val="4"/>
        </w:numPr>
        <w:rPr>
          <w:rFonts w:ascii="Times New Roman" w:hAnsi="Times New Roman" w:cs="Times New Roman"/>
        </w:rPr>
      </w:pPr>
      <w:r>
        <w:rPr>
          <w:rFonts w:ascii="Times New Roman" w:hAnsi="Times New Roman" w:cs="Times New Roman"/>
        </w:rPr>
        <w:t xml:space="preserve">En el año 2019 el mes de agoto en la comuna de estación central, nacieron 4300 individuos de los cuales ninguno falleció, ese mismo mes, en la misma comuna fallecieron 4887 individuos en diferente circunstancias ¡pero! Llegaron 7668 personas a vivir a la comuna, de las cuales solo emigraron 100 personas. Aun así, en el año, 2000 en el mismo mes y la misma comuna, nacieron 5788 individuos, fallecieron 2508, llegaron 2000 individuos a vivir y emigraron 1000 individuos. </w:t>
      </w:r>
      <w:r w:rsidRPr="00746612">
        <w:rPr>
          <w:rFonts w:ascii="Times New Roman" w:hAnsi="Times New Roman" w:cs="Times New Roman"/>
        </w:rPr>
        <w:t>¿</w:t>
      </w:r>
      <w:r>
        <w:rPr>
          <w:rFonts w:ascii="Times New Roman" w:hAnsi="Times New Roman" w:cs="Times New Roman"/>
        </w:rPr>
        <w:t>cuál es el tamaño poblacional de agosto de 2019</w:t>
      </w:r>
      <w:r w:rsidRPr="00746612">
        <w:rPr>
          <w:rFonts w:ascii="Times New Roman" w:hAnsi="Times New Roman" w:cs="Times New Roman"/>
        </w:rPr>
        <w:t>?</w:t>
      </w:r>
      <w:r>
        <w:rPr>
          <w:rFonts w:ascii="Times New Roman" w:hAnsi="Times New Roman" w:cs="Times New Roman"/>
        </w:rPr>
        <w:t xml:space="preserve"> ¿Cuál es el tamaño poblacional de Agosto del 2000? Explique si el tamaño poblacional aumentó o disminuyó en el tiempo.</w:t>
      </w:r>
    </w:p>
    <w:p w:rsidR="00C5737E" w:rsidRPr="00C5737E" w:rsidRDefault="00C5737E" w:rsidP="00C5737E">
      <w:pPr>
        <w:pStyle w:val="Prrafodelista"/>
        <w:numPr>
          <w:ilvl w:val="0"/>
          <w:numId w:val="4"/>
        </w:numPr>
        <w:rPr>
          <w:rFonts w:ascii="Times New Roman" w:hAnsi="Times New Roman" w:cs="Times New Roman"/>
        </w:rPr>
      </w:pPr>
      <w:r>
        <w:rPr>
          <w:rFonts w:ascii="Times New Roman" w:hAnsi="Times New Roman" w:cs="Times New Roman"/>
        </w:rPr>
        <w:t>En la comuna de padre hurtado durante el mes de enero del año 201</w:t>
      </w:r>
      <w:r w:rsidR="00DE0EC2">
        <w:rPr>
          <w:rFonts w:ascii="Times New Roman" w:hAnsi="Times New Roman" w:cs="Times New Roman"/>
        </w:rPr>
        <w:t>6</w:t>
      </w:r>
      <w:r w:rsidRPr="00C5737E">
        <w:rPr>
          <w:rFonts w:ascii="Times New Roman" w:hAnsi="Times New Roman" w:cs="Times New Roman"/>
        </w:rPr>
        <w:t>, nacieron</w:t>
      </w:r>
      <w:r w:rsidR="00DE0EC2">
        <w:rPr>
          <w:rFonts w:ascii="Times New Roman" w:hAnsi="Times New Roman" w:cs="Times New Roman"/>
        </w:rPr>
        <w:t xml:space="preserve"> 200 </w:t>
      </w:r>
      <w:r w:rsidRPr="00C5737E">
        <w:rPr>
          <w:rFonts w:ascii="Times New Roman" w:hAnsi="Times New Roman" w:cs="Times New Roman"/>
        </w:rPr>
        <w:t>individuos, de los cuáles ninguno falleció, así mismo en el mes de mayo fallecieron bajo diferentes circunstan</w:t>
      </w:r>
      <w:r w:rsidR="00DE0EC2">
        <w:rPr>
          <w:rFonts w:ascii="Times New Roman" w:hAnsi="Times New Roman" w:cs="Times New Roman"/>
        </w:rPr>
        <w:t>cias 34</w:t>
      </w:r>
      <w:r w:rsidRPr="00C5737E">
        <w:rPr>
          <w:rFonts w:ascii="Times New Roman" w:hAnsi="Times New Roman" w:cs="Times New Roman"/>
        </w:rPr>
        <w:t xml:space="preserve"> personas, las tasas de inmigración era baja</w:t>
      </w:r>
      <w:r w:rsidR="00DE0EC2">
        <w:rPr>
          <w:rFonts w:ascii="Times New Roman" w:hAnsi="Times New Roman" w:cs="Times New Roman"/>
        </w:rPr>
        <w:t>s, y llegaron 450</w:t>
      </w:r>
      <w:r w:rsidRPr="00C5737E">
        <w:rPr>
          <w:rFonts w:ascii="Times New Roman" w:hAnsi="Times New Roman" w:cs="Times New Roman"/>
        </w:rPr>
        <w:t xml:space="preserve"> </w:t>
      </w:r>
      <w:r w:rsidR="00DE0EC2">
        <w:rPr>
          <w:rFonts w:ascii="Times New Roman" w:hAnsi="Times New Roman" w:cs="Times New Roman"/>
        </w:rPr>
        <w:lastRenderedPageBreak/>
        <w:t>personas desde otras comunas a radicarse en la comuna</w:t>
      </w:r>
      <w:r w:rsidRPr="00C5737E">
        <w:rPr>
          <w:rFonts w:ascii="Times New Roman" w:hAnsi="Times New Roman" w:cs="Times New Roman"/>
        </w:rPr>
        <w:t xml:space="preserve"> y emigraron 0 personas. En </w:t>
      </w:r>
      <w:r w:rsidR="00DE0EC2">
        <w:rPr>
          <w:rFonts w:ascii="Times New Roman" w:hAnsi="Times New Roman" w:cs="Times New Roman"/>
        </w:rPr>
        <w:t>comparación con febrero de ese mismo año</w:t>
      </w:r>
      <w:r w:rsidRPr="00C5737E">
        <w:rPr>
          <w:rFonts w:ascii="Times New Roman" w:hAnsi="Times New Roman" w:cs="Times New Roman"/>
        </w:rPr>
        <w:t>, naciero</w:t>
      </w:r>
      <w:r w:rsidR="00DE0EC2">
        <w:rPr>
          <w:rFonts w:ascii="Times New Roman" w:hAnsi="Times New Roman" w:cs="Times New Roman"/>
        </w:rPr>
        <w:t>n 677</w:t>
      </w:r>
      <w:r w:rsidRPr="00C5737E">
        <w:rPr>
          <w:rFonts w:ascii="Times New Roman" w:hAnsi="Times New Roman" w:cs="Times New Roman"/>
        </w:rPr>
        <w:t xml:space="preserve"> individuos y fallec</w:t>
      </w:r>
      <w:r w:rsidR="00DE0EC2">
        <w:rPr>
          <w:rFonts w:ascii="Times New Roman" w:hAnsi="Times New Roman" w:cs="Times New Roman"/>
        </w:rPr>
        <w:t>ieron 9</w:t>
      </w:r>
      <w:r w:rsidRPr="00C5737E">
        <w:rPr>
          <w:rFonts w:ascii="Times New Roman" w:hAnsi="Times New Roman" w:cs="Times New Roman"/>
        </w:rPr>
        <w:t xml:space="preserve"> infa</w:t>
      </w:r>
      <w:r w:rsidR="00DE0EC2">
        <w:rPr>
          <w:rFonts w:ascii="Times New Roman" w:hAnsi="Times New Roman" w:cs="Times New Roman"/>
        </w:rPr>
        <w:t>ntes, llegaron 58</w:t>
      </w:r>
      <w:r w:rsidRPr="00C5737E">
        <w:rPr>
          <w:rFonts w:ascii="Times New Roman" w:hAnsi="Times New Roman" w:cs="Times New Roman"/>
        </w:rPr>
        <w:t xml:space="preserve"> inmigrantes a trabajar y se fueron 340 personas de la comuna. ¿cuál es el tamaño poblacional </w:t>
      </w:r>
      <w:r w:rsidR="00DE0EC2">
        <w:rPr>
          <w:rFonts w:ascii="Times New Roman" w:hAnsi="Times New Roman" w:cs="Times New Roman"/>
        </w:rPr>
        <w:t>de enero</w:t>
      </w:r>
      <w:r w:rsidRPr="00C5737E">
        <w:rPr>
          <w:rFonts w:ascii="Times New Roman" w:hAnsi="Times New Roman" w:cs="Times New Roman"/>
        </w:rPr>
        <w:t>? ¿Cuál e</w:t>
      </w:r>
      <w:r w:rsidR="00DE0EC2">
        <w:rPr>
          <w:rFonts w:ascii="Times New Roman" w:hAnsi="Times New Roman" w:cs="Times New Roman"/>
        </w:rPr>
        <w:t>s el tamaño poblacional de febrero</w:t>
      </w:r>
      <w:r w:rsidRPr="00C5737E">
        <w:rPr>
          <w:rFonts w:ascii="Times New Roman" w:hAnsi="Times New Roman" w:cs="Times New Roman"/>
        </w:rPr>
        <w:t>? Explique si el tamaño poblacional aumentó o disminuyó en el tiempo.</w:t>
      </w:r>
    </w:p>
    <w:p w:rsidR="00C5737E" w:rsidRPr="00DE0EC2" w:rsidRDefault="00DE0EC2" w:rsidP="00DE0EC2">
      <w:pPr>
        <w:pStyle w:val="Prrafodelista"/>
        <w:numPr>
          <w:ilvl w:val="0"/>
          <w:numId w:val="3"/>
        </w:numPr>
        <w:rPr>
          <w:rFonts w:ascii="Times New Roman" w:hAnsi="Times New Roman" w:cs="Times New Roman"/>
        </w:rPr>
      </w:pPr>
      <w:r>
        <w:rPr>
          <w:rFonts w:ascii="Times New Roman" w:hAnsi="Times New Roman" w:cs="Times New Roman"/>
        </w:rPr>
        <w:t xml:space="preserve">Ahora, después de desarrollar estos ejercicios, debe escoger 1 y grabar un video, explicando cómo resolvió el ejercicio, cuáles fueron los datos que utilizó y responder las interrogantes del enunciado: si es que hubo variaciones en el crecimiento poblacional, etc. </w:t>
      </w:r>
    </w:p>
    <w:sectPr w:rsidR="00C5737E" w:rsidRPr="00DE0EC2" w:rsidSect="00EA0BD7">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9B" w:rsidRDefault="00B3599B" w:rsidP="00334795">
      <w:pPr>
        <w:spacing w:after="0" w:line="240" w:lineRule="auto"/>
      </w:pPr>
      <w:r>
        <w:separator/>
      </w:r>
    </w:p>
  </w:endnote>
  <w:endnote w:type="continuationSeparator" w:id="1">
    <w:p w:rsidR="00B3599B" w:rsidRDefault="00B3599B" w:rsidP="0033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9B" w:rsidRDefault="00B3599B" w:rsidP="00334795">
      <w:pPr>
        <w:spacing w:after="0" w:line="240" w:lineRule="auto"/>
      </w:pPr>
      <w:r>
        <w:separator/>
      </w:r>
    </w:p>
  </w:footnote>
  <w:footnote w:type="continuationSeparator" w:id="1">
    <w:p w:rsidR="00B3599B" w:rsidRDefault="00B3599B" w:rsidP="00334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95" w:rsidRPr="009A74B9" w:rsidRDefault="00334795" w:rsidP="00334795">
    <w:pPr>
      <w:pStyle w:val="Encabezado"/>
      <w:rPr>
        <w:rFonts w:ascii="Times New Roman" w:hAnsi="Times New Roman" w:cs="Times New Roman"/>
      </w:rPr>
    </w:pPr>
    <w:r w:rsidRPr="009A74B9">
      <w:rPr>
        <w:rFonts w:ascii="Times New Roman" w:hAnsi="Times New Roman" w:cs="Times New Roman"/>
        <w:noProof/>
        <w:lang w:eastAsia="es-CL"/>
      </w:rPr>
      <w:drawing>
        <wp:anchor distT="0" distB="0" distL="114300" distR="114300" simplePos="0" relativeHeight="251659264" behindDoc="0" locked="0" layoutInCell="1" allowOverlap="1">
          <wp:simplePos x="0" y="0"/>
          <wp:positionH relativeFrom="margin">
            <wp:posOffset>-727710</wp:posOffset>
          </wp:positionH>
          <wp:positionV relativeFrom="margin">
            <wp:posOffset>-860425</wp:posOffset>
          </wp:positionV>
          <wp:extent cx="852170" cy="850265"/>
          <wp:effectExtent l="19050" t="0" r="5080" b="0"/>
          <wp:wrapSquare wrapText="bothSides"/>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2170" cy="850265"/>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Pr="009A74B9">
      <w:rPr>
        <w:rFonts w:ascii="Times New Roman" w:hAnsi="Times New Roman" w:cs="Times New Roman"/>
      </w:rPr>
      <w:t xml:space="preserve">Prof. Milenka Trujillo </w:t>
    </w:r>
  </w:p>
  <w:p w:rsidR="00334795" w:rsidRPr="009A74B9" w:rsidRDefault="00334795" w:rsidP="00334795">
    <w:pPr>
      <w:pStyle w:val="Encabezado"/>
      <w:rPr>
        <w:rFonts w:ascii="Times New Roman" w:hAnsi="Times New Roman" w:cs="Times New Roman"/>
      </w:rPr>
    </w:pPr>
    <w:r>
      <w:rPr>
        <w:rFonts w:ascii="Times New Roman" w:hAnsi="Times New Roman" w:cs="Times New Roman"/>
      </w:rPr>
      <w:t xml:space="preserve">    </w:t>
    </w:r>
    <w:r w:rsidRPr="009A74B9">
      <w:rPr>
        <w:rFonts w:ascii="Times New Roman" w:hAnsi="Times New Roman" w:cs="Times New Roman"/>
      </w:rPr>
      <w:t xml:space="preserve">I°Medio </w:t>
    </w:r>
  </w:p>
  <w:p w:rsidR="00334795" w:rsidRPr="009A74B9" w:rsidRDefault="00334795" w:rsidP="00334795">
    <w:pPr>
      <w:pStyle w:val="Encabezado"/>
      <w:rPr>
        <w:rFonts w:ascii="Times New Roman" w:hAnsi="Times New Roman" w:cs="Times New Roman"/>
      </w:rPr>
    </w:pPr>
    <w:r>
      <w:rPr>
        <w:rFonts w:ascii="Times New Roman" w:hAnsi="Times New Roman" w:cs="Times New Roman"/>
      </w:rPr>
      <w:t xml:space="preserve">    </w:t>
    </w:r>
    <w:r w:rsidRPr="009A74B9">
      <w:rPr>
        <w:rFonts w:ascii="Times New Roman" w:hAnsi="Times New Roman" w:cs="Times New Roman"/>
      </w:rPr>
      <w:t xml:space="preserve">Biología </w:t>
    </w:r>
  </w:p>
  <w:p w:rsidR="00334795" w:rsidRDefault="003347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D0A"/>
    <w:multiLevelType w:val="hybridMultilevel"/>
    <w:tmpl w:val="436842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400B24"/>
    <w:multiLevelType w:val="hybridMultilevel"/>
    <w:tmpl w:val="42ECBE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F4334AA"/>
    <w:multiLevelType w:val="hybridMultilevel"/>
    <w:tmpl w:val="CFC43E02"/>
    <w:lvl w:ilvl="0" w:tplc="EFDA3FD2">
      <w:start w:val="3"/>
      <w:numFmt w:val="bullet"/>
      <w:lvlText w:val="-"/>
      <w:lvlJc w:val="left"/>
      <w:pPr>
        <w:ind w:left="720" w:hanging="360"/>
      </w:pPr>
      <w:rPr>
        <w:rFonts w:ascii="Century Schoolbook" w:eastAsiaTheme="minorHAnsi" w:hAnsi="Century Schoolbook" w:cs="Century School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35C0AD1"/>
    <w:multiLevelType w:val="hybridMultilevel"/>
    <w:tmpl w:val="462A25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34795"/>
    <w:rsid w:val="00006F72"/>
    <w:rsid w:val="00334795"/>
    <w:rsid w:val="004E7188"/>
    <w:rsid w:val="006E0660"/>
    <w:rsid w:val="00746612"/>
    <w:rsid w:val="009C5166"/>
    <w:rsid w:val="00B3599B"/>
    <w:rsid w:val="00C5737E"/>
    <w:rsid w:val="00DE0EC2"/>
    <w:rsid w:val="00EA0BD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9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47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4795"/>
  </w:style>
  <w:style w:type="paragraph" w:styleId="Piedepgina">
    <w:name w:val="footer"/>
    <w:basedOn w:val="Normal"/>
    <w:link w:val="PiedepginaCar"/>
    <w:uiPriority w:val="99"/>
    <w:semiHidden/>
    <w:unhideWhenUsed/>
    <w:rsid w:val="003347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4795"/>
  </w:style>
  <w:style w:type="table" w:styleId="Tablaconcuadrcula">
    <w:name w:val="Table Grid"/>
    <w:basedOn w:val="Tablanormal"/>
    <w:uiPriority w:val="59"/>
    <w:rsid w:val="00334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4795"/>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Prrafodelista">
    <w:name w:val="List Paragraph"/>
    <w:basedOn w:val="Normal"/>
    <w:uiPriority w:val="34"/>
    <w:qFormat/>
    <w:rsid w:val="00334795"/>
    <w:pPr>
      <w:ind w:left="720"/>
      <w:contextualSpacing/>
    </w:pPr>
  </w:style>
  <w:style w:type="character" w:styleId="Hipervnculo">
    <w:name w:val="Hyperlink"/>
    <w:basedOn w:val="Fuentedeprrafopredeter"/>
    <w:uiPriority w:val="99"/>
    <w:unhideWhenUsed/>
    <w:rsid w:val="00006F72"/>
    <w:rPr>
      <w:color w:val="0000FF" w:themeColor="hyperlink"/>
      <w:u w:val="single"/>
    </w:rPr>
  </w:style>
  <w:style w:type="paragraph" w:styleId="Textodeglobo">
    <w:name w:val="Balloon Text"/>
    <w:basedOn w:val="Normal"/>
    <w:link w:val="TextodegloboCar"/>
    <w:uiPriority w:val="99"/>
    <w:semiHidden/>
    <w:unhideWhenUsed/>
    <w:rsid w:val="00006F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rujillo@sanbenild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2020-06-01T22:26:00Z</dcterms:created>
  <dcterms:modified xsi:type="dcterms:W3CDTF">2020-06-01T23:26:00Z</dcterms:modified>
</cp:coreProperties>
</file>